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50"/>
        <w:gridCol w:w="665"/>
        <w:gridCol w:w="665"/>
        <w:gridCol w:w="665"/>
        <w:gridCol w:w="665"/>
        <w:gridCol w:w="1013"/>
        <w:gridCol w:w="798"/>
        <w:gridCol w:w="360"/>
        <w:gridCol w:w="804"/>
        <w:gridCol w:w="360"/>
        <w:gridCol w:w="952"/>
        <w:gridCol w:w="430"/>
      </w:tblGrid>
      <w:tr w:rsidR="007B477E" w:rsidRPr="007B477E" w:rsidTr="00E75DE5">
        <w:trPr>
          <w:trHeight w:val="311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311"/>
        </w:trPr>
        <w:tc>
          <w:tcPr>
            <w:tcW w:w="10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r w:rsidR="00937A1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         </w:t>
            </w: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</w:t>
            </w:r>
            <w:proofErr w:type="gramStart"/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Tarih : 08</w:t>
            </w:r>
            <w:proofErr w:type="gramEnd"/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.01.2020</w:t>
            </w:r>
          </w:p>
        </w:tc>
      </w:tr>
      <w:tr w:rsidR="007B477E" w:rsidRPr="007B477E" w:rsidTr="00E75DE5">
        <w:trPr>
          <w:trHeight w:val="311"/>
        </w:trPr>
        <w:tc>
          <w:tcPr>
            <w:tcW w:w="10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481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="00481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          </w:t>
            </w: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TARİFE KOMİSYON RAPORU EKİ                              </w:t>
            </w:r>
            <w:r w:rsidR="00937A1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        </w:t>
            </w: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Rapor No: 4</w:t>
            </w:r>
          </w:p>
        </w:tc>
      </w:tr>
      <w:tr w:rsidR="007B477E" w:rsidRPr="007B477E" w:rsidTr="00E75DE5">
        <w:trPr>
          <w:trHeight w:val="302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167640</wp:posOffset>
                  </wp:positionV>
                  <wp:extent cx="1295400" cy="19812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8100" y="906780"/>
                            <a:ext cx="1285603" cy="186692"/>
                            <a:chOff x="3848100" y="906780"/>
                            <a:chExt cx="1285603" cy="186692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2420" y="7475220"/>
                              <a:ext cx="76200" cy="186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87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3"/>
            </w:tblGrid>
            <w:tr w:rsidR="007B477E" w:rsidRPr="007B477E" w:rsidTr="00E75DE5">
              <w:trPr>
                <w:trHeight w:val="224"/>
                <w:tblCellSpacing w:w="0" w:type="dxa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477E" w:rsidRPr="007B477E" w:rsidRDefault="007B477E" w:rsidP="007B477E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263"/>
        </w:trPr>
        <w:tc>
          <w:tcPr>
            <w:tcW w:w="107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İMAR VE ŞEHİRCİLİK MÜDÜRLÜĞÜ</w:t>
            </w:r>
          </w:p>
        </w:tc>
      </w:tr>
      <w:tr w:rsidR="007B477E" w:rsidRPr="007B477E" w:rsidTr="00E75DE5">
        <w:trPr>
          <w:trHeight w:val="720"/>
        </w:trPr>
        <w:tc>
          <w:tcPr>
            <w:tcW w:w="1072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Büyükçekmece Belediyesi sınırları içerisinde mesleki faaliyet gösteren ve gösterecek teknik elemanların kayıt ve tescil işlemleri ile plan kontrol ve imar durumu ile </w:t>
            </w:r>
            <w:proofErr w:type="gram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proje 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tastik</w:t>
            </w:r>
            <w:proofErr w:type="spellEnd"/>
            <w:proofErr w:type="gram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işlemlerinde 3194 sayılı yasa ve 2464 sayılı yasanın 97.maddesi kapsamında ücret alınması hizmetleri için 2020 yılında uygulanmak üzere tarife hazırlanmıştır.     </w:t>
            </w:r>
          </w:p>
        </w:tc>
      </w:tr>
      <w:tr w:rsidR="00E75DE5" w:rsidRPr="007B477E" w:rsidTr="00E75DE5">
        <w:trPr>
          <w:trHeight w:val="21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MECLİSCE KABUL EDİLEN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2020 YILI İÇİN ÖNERİLEN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KOMİSYONCA KABUL EDİLEN</w:t>
            </w:r>
          </w:p>
        </w:tc>
      </w:tr>
      <w:tr w:rsidR="00E75DE5" w:rsidRPr="007B477E" w:rsidTr="00E75DE5">
        <w:trPr>
          <w:trHeight w:val="362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117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323"/>
        </w:trPr>
        <w:tc>
          <w:tcPr>
            <w:tcW w:w="107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G-İrtifak Tesis </w:t>
            </w:r>
            <w:proofErr w:type="gramStart"/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Ücreti :</w:t>
            </w:r>
            <w:proofErr w:type="gramEnd"/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Konutlarda;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Her bağımsız bölüm için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46,00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180,00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180,00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7B477E" w:rsidRPr="007B477E" w:rsidTr="00E75DE5">
        <w:trPr>
          <w:trHeight w:val="185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323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İşyerlerinde;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Her bağımsız bölüm için ayrı </w:t>
            </w:r>
            <w:proofErr w:type="spellStart"/>
            <w:proofErr w:type="gram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ayrı</w:t>
            </w:r>
            <w:proofErr w:type="spell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alınır</w:t>
            </w:r>
            <w:proofErr w:type="gram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a)  0-150 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arası brüt inşaat alanı olan işyerleri için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484,00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b) 151-300 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arası brüt inşaat alanı olan </w:t>
            </w:r>
            <w:proofErr w:type="gram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işyerleri  için</w:t>
            </w:r>
            <w:proofErr w:type="gram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760,00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1200,00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1200,00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c) 300 m2 den fazla brüt inşaat alanı olan </w:t>
            </w:r>
            <w:proofErr w:type="gram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işyerleri  için</w:t>
            </w:r>
            <w:proofErr w:type="gram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 xml:space="preserve"> - ---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1800,00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1800,00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d) Sanayiden ( beher 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 xml:space="preserve">2 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için)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x0,64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x0,64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x0,64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7B477E" w:rsidRPr="007B477E" w:rsidTr="00E75DE5">
        <w:trPr>
          <w:trHeight w:val="22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323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I-Fotoğraf Tasdik </w:t>
            </w:r>
            <w:proofErr w:type="gramStart"/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Ücreti :</w:t>
            </w:r>
            <w:proofErr w:type="gramEnd"/>
          </w:p>
        </w:tc>
      </w:tr>
      <w:tr w:rsidR="00E75DE5" w:rsidRPr="007B477E" w:rsidTr="00E75DE5">
        <w:trPr>
          <w:trHeight w:val="418"/>
        </w:trPr>
        <w:tc>
          <w:tcPr>
            <w:tcW w:w="70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gram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Konutlarda,işyerleri</w:t>
            </w:r>
            <w:proofErr w:type="gram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ve sanayide toplam brüt inşaat alanı üzerinden alınacaktır.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a) 0-250 m2 arası toplam inşaat alanı için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600,00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77,00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77,00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7B477E" w:rsidRPr="007B477E" w:rsidTr="00E75DE5">
        <w:trPr>
          <w:trHeight w:val="323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b) 251-1000 m2 arası toplam inşaat alanı için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1080,00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194,00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194,00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7B477E" w:rsidRPr="007B477E" w:rsidTr="00E75DE5">
        <w:trPr>
          <w:trHeight w:val="23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323"/>
        </w:trPr>
        <w:tc>
          <w:tcPr>
            <w:tcW w:w="107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J-Teknik Eleman </w:t>
            </w:r>
            <w:proofErr w:type="gramStart"/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Ücreti :</w:t>
            </w:r>
            <w:proofErr w:type="gramEnd"/>
          </w:p>
        </w:tc>
      </w:tr>
      <w:tr w:rsidR="007B477E" w:rsidRPr="007B477E" w:rsidTr="00E75DE5">
        <w:trPr>
          <w:trHeight w:val="323"/>
        </w:trPr>
        <w:tc>
          <w:tcPr>
            <w:tcW w:w="107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Konutlarda; 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Her bağımsız bölüm için ayrı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ayrı</w:t>
            </w:r>
            <w:proofErr w:type="spell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alınır.</w:t>
            </w:r>
          </w:p>
        </w:tc>
      </w:tr>
      <w:tr w:rsidR="00E75DE5" w:rsidRPr="007B477E" w:rsidTr="00E75DE5">
        <w:trPr>
          <w:trHeight w:val="390"/>
        </w:trPr>
        <w:tc>
          <w:tcPr>
            <w:tcW w:w="70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d) 0 - 300 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arası villa binaları için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alınan ücret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470,00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600,00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600,00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E75DE5" w:rsidRPr="007B477E" w:rsidTr="00E75DE5">
        <w:trPr>
          <w:trHeight w:val="47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e) 301 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ve üzerindeki villa binaları için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alınan ücret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470,00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900,00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900,00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E75DE5" w:rsidRPr="007B477E" w:rsidTr="00E75DE5">
        <w:trPr>
          <w:trHeight w:val="45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f) Havuzlar için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alınan teknik eleman ücreti havuz adet sayısınca hesaplanarak toplam olarak bulunur.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470,00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470,00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470,00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7B477E" w:rsidRPr="007B477E" w:rsidTr="00E75DE5">
        <w:trPr>
          <w:trHeight w:val="23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525"/>
        </w:trPr>
        <w:tc>
          <w:tcPr>
            <w:tcW w:w="107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O-Temel üstü vizesi ücreti:</w:t>
            </w: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br/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( Bina adedi olarak her bina başına </w:t>
            </w:r>
            <w:proofErr w:type="spell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maktuen</w:t>
            </w:r>
            <w:proofErr w:type="spell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)</w:t>
            </w: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a) 0 - 250 </w:t>
            </w:r>
            <w:proofErr w:type="gramStart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arası</w:t>
            </w:r>
            <w:proofErr w:type="gramEnd"/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binalar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543654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752,00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543654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752,00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543654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752,00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E75DE5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b) 251 m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vertAlign w:val="superscript"/>
                <w:lang w:eastAsia="tr-TR"/>
              </w:rPr>
              <w:t>2</w:t>
            </w: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ve üzerindeki binalar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 xml:space="preserve"> - ---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543654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1080,00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543654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1080,00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7B477E" w:rsidRPr="007B477E" w:rsidTr="00E75DE5">
        <w:trPr>
          <w:trHeight w:val="23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418"/>
        </w:trPr>
        <w:tc>
          <w:tcPr>
            <w:tcW w:w="1072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S- Büyükçekmece Belediyesi sınırları dahilinde mesleki faaliyet gösteren teknik elemanları kayıt ve tescil işlemleri ücret </w:t>
            </w:r>
            <w:proofErr w:type="gramStart"/>
            <w:r w:rsidRPr="007B477E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tarifesi ;</w:t>
            </w:r>
            <w:proofErr w:type="gramEnd"/>
          </w:p>
        </w:tc>
      </w:tr>
      <w:tr w:rsidR="007B477E" w:rsidRPr="007B477E" w:rsidTr="00E75DE5">
        <w:trPr>
          <w:trHeight w:val="282"/>
        </w:trPr>
        <w:tc>
          <w:tcPr>
            <w:tcW w:w="10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3840480</wp:posOffset>
                  </wp:positionH>
                  <wp:positionV relativeFrom="paragraph">
                    <wp:posOffset>213360</wp:posOffset>
                  </wp:positionV>
                  <wp:extent cx="1562100" cy="19812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8100" y="9601200"/>
                            <a:ext cx="1544683" cy="182338"/>
                            <a:chOff x="3848100" y="9601200"/>
                            <a:chExt cx="1544683" cy="182338"/>
                          </a:xfrm>
                        </a:grpSpPr>
                        <a:sp>
                          <a:nvSpPr>
                            <a:cNvPr id="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76700" y="7475220"/>
                              <a:ext cx="76200" cy="186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36"/>
            </w:tblGrid>
            <w:tr w:rsidR="007B477E" w:rsidRPr="007B477E" w:rsidTr="00E75DE5">
              <w:trPr>
                <w:trHeight w:val="282"/>
                <w:tblCellSpacing w:w="0" w:type="dxa"/>
              </w:trPr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477E" w:rsidRPr="007B477E" w:rsidRDefault="007B477E" w:rsidP="007B477E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8"/>
                      <w:szCs w:val="18"/>
                      <w:lang w:eastAsia="tr-TR"/>
                    </w:rPr>
                  </w:pPr>
                  <w:r w:rsidRPr="007B477E">
                    <w:rPr>
                      <w:rFonts w:ascii="Arial TUR" w:eastAsia="Times New Roman" w:hAnsi="Arial TUR" w:cs="Arial TUR"/>
                      <w:sz w:val="18"/>
                      <w:szCs w:val="18"/>
                      <w:lang w:eastAsia="tr-TR"/>
                    </w:rPr>
                    <w:t>2-</w:t>
                  </w:r>
                  <w:proofErr w:type="spellStart"/>
                  <w:r w:rsidRPr="007B477E">
                    <w:rPr>
                      <w:rFonts w:ascii="Arial TUR" w:eastAsia="Times New Roman" w:hAnsi="Arial TUR" w:cs="Arial TUR"/>
                      <w:sz w:val="18"/>
                      <w:szCs w:val="18"/>
                      <w:lang w:eastAsia="tr-TR"/>
                    </w:rPr>
                    <w:t>Tus</w:t>
                  </w:r>
                  <w:proofErr w:type="spellEnd"/>
                  <w:r w:rsidRPr="007B477E">
                    <w:rPr>
                      <w:rFonts w:ascii="Arial TUR" w:eastAsia="Times New Roman" w:hAnsi="Arial TUR" w:cs="Arial TUR"/>
                      <w:sz w:val="18"/>
                      <w:szCs w:val="18"/>
                      <w:lang w:eastAsia="tr-TR"/>
                    </w:rPr>
                    <w:t xml:space="preserve"> (Teknik Uygulama Sorumlusu)</w:t>
                  </w:r>
                </w:p>
              </w:tc>
            </w:tr>
          </w:tbl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323"/>
        </w:trPr>
        <w:tc>
          <w:tcPr>
            <w:tcW w:w="70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a) Mimarlar, Mühendisler ve Yapı Denetim Kuruluşları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173,00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600,00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  <w:t>600,00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TL</w:t>
            </w:r>
          </w:p>
        </w:tc>
      </w:tr>
      <w:tr w:rsidR="007B477E" w:rsidRPr="007B477E" w:rsidTr="00E75DE5">
        <w:trPr>
          <w:trHeight w:val="323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477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7E" w:rsidRPr="007B477E" w:rsidRDefault="007B477E" w:rsidP="007B477E">
            <w:pPr>
              <w:spacing w:after="0" w:line="240" w:lineRule="auto"/>
              <w:jc w:val="center"/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</w:pPr>
            <w:r w:rsidRPr="007B477E">
              <w:rPr>
                <w:rFonts w:ascii="AbakuTLSymSans" w:eastAsia="Times New Roman" w:hAnsi="AbakuTLSymSans" w:cs="Arial TUR"/>
                <w:sz w:val="18"/>
                <w:szCs w:val="18"/>
                <w:lang w:eastAsia="tr-TR"/>
              </w:rPr>
              <w:t> </w:t>
            </w:r>
          </w:p>
        </w:tc>
      </w:tr>
      <w:tr w:rsidR="007B477E" w:rsidRPr="007B477E" w:rsidTr="00E75DE5">
        <w:trPr>
          <w:trHeight w:val="21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253"/>
        </w:trPr>
        <w:tc>
          <w:tcPr>
            <w:tcW w:w="10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lang w:eastAsia="tr-TR"/>
              </w:rPr>
            </w:pPr>
            <w:r w:rsidRPr="007B477E">
              <w:rPr>
                <w:rFonts w:ascii="Calibri" w:eastAsia="Times New Roman" w:hAnsi="Calibri" w:cs="Arial TUR"/>
                <w:color w:val="000000"/>
                <w:lang w:eastAsia="tr-TR"/>
              </w:rPr>
              <w:t xml:space="preserve">                 Murat ERÇAĞ                                           Nevzat SEZEN                                     Sami SERTADIM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253"/>
        </w:trPr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lang w:eastAsia="tr-TR"/>
              </w:rPr>
            </w:pPr>
            <w:r w:rsidRPr="007B477E">
              <w:rPr>
                <w:rFonts w:ascii="Calibri" w:eastAsia="Times New Roman" w:hAnsi="Calibri" w:cs="Arial TUR"/>
                <w:color w:val="000000"/>
                <w:lang w:eastAsia="tr-TR"/>
              </w:rPr>
              <w:t xml:space="preserve">                 Komisyon Başkanı                                    Başkan Vekili                                       Üye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B477E" w:rsidRPr="007B477E" w:rsidTr="00E75DE5">
        <w:trPr>
          <w:trHeight w:val="21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7E" w:rsidRPr="007B477E" w:rsidRDefault="007B477E" w:rsidP="007B477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:rsidR="003D182E" w:rsidRPr="007B477E" w:rsidRDefault="003D182E" w:rsidP="007B477E">
      <w:pPr>
        <w:ind w:left="-1276" w:right="372"/>
        <w:rPr>
          <w:sz w:val="18"/>
          <w:szCs w:val="18"/>
        </w:rPr>
      </w:pPr>
    </w:p>
    <w:sectPr w:rsidR="003D182E" w:rsidRPr="007B477E" w:rsidSect="007B477E">
      <w:pgSz w:w="11906" w:h="16838" w:code="9"/>
      <w:pgMar w:top="720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77E"/>
    <w:rsid w:val="003D182E"/>
    <w:rsid w:val="00481851"/>
    <w:rsid w:val="00543654"/>
    <w:rsid w:val="007B477E"/>
    <w:rsid w:val="00937A11"/>
    <w:rsid w:val="00E7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neslihan.yildirimd</dc:creator>
  <cp:lastModifiedBy>neslihan.yildirimd</cp:lastModifiedBy>
  <cp:revision>7</cp:revision>
  <cp:lastPrinted>2020-01-10T11:11:00Z</cp:lastPrinted>
  <dcterms:created xsi:type="dcterms:W3CDTF">2020-01-10T11:01:00Z</dcterms:created>
  <dcterms:modified xsi:type="dcterms:W3CDTF">2020-01-10T11:12:00Z</dcterms:modified>
</cp:coreProperties>
</file>